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sz w:val="44"/>
          <w:szCs w:val="44"/>
        </w:rPr>
      </w:pPr>
    </w:p>
    <w:p>
      <w:pPr>
        <w:jc w:val="center"/>
        <w:rPr>
          <w:b/>
          <w:sz w:val="44"/>
          <w:szCs w:val="44"/>
        </w:rPr>
      </w:pPr>
      <w:r>
        <w:rPr>
          <w:rFonts w:hint="eastAsia"/>
          <w:b/>
          <w:sz w:val="44"/>
          <w:szCs w:val="44"/>
        </w:rPr>
        <w:t>一条山公园绿化简介</w:t>
      </w:r>
    </w:p>
    <w:p>
      <w:pPr>
        <w:ind w:firstLine="640" w:firstLineChars="200"/>
        <w:rPr>
          <w:rFonts w:ascii="仿宋" w:hAnsi="仿宋" w:eastAsia="仿宋"/>
          <w:sz w:val="32"/>
          <w:szCs w:val="32"/>
        </w:rPr>
      </w:pPr>
    </w:p>
    <w:p>
      <w:pPr>
        <w:spacing w:line="580" w:lineRule="exact"/>
        <w:ind w:firstLine="640" w:firstLineChars="200"/>
        <w:outlineLvl w:val="0"/>
        <w:rPr>
          <w:rFonts w:ascii="仿宋" w:hAnsi="仿宋" w:eastAsia="仿宋"/>
          <w:sz w:val="32"/>
          <w:szCs w:val="32"/>
        </w:rPr>
      </w:pPr>
      <w:r>
        <w:rPr>
          <w:rFonts w:hint="eastAsia" w:ascii="仿宋" w:hAnsi="仿宋" w:eastAsia="仿宋"/>
          <w:sz w:val="32"/>
          <w:szCs w:val="32"/>
        </w:rPr>
        <w:t>景泰县一条山公园位于景泰县城南部，东至石城村，西至省道</w:t>
      </w:r>
      <w:r>
        <w:rPr>
          <w:rFonts w:ascii="仿宋" w:hAnsi="仿宋" w:eastAsia="仿宋"/>
          <w:sz w:val="32"/>
          <w:szCs w:val="32"/>
        </w:rPr>
        <w:t>201</w:t>
      </w:r>
      <w:r>
        <w:rPr>
          <w:rFonts w:hint="eastAsia" w:ascii="仿宋" w:hAnsi="仿宋" w:eastAsia="仿宋"/>
          <w:sz w:val="32"/>
          <w:szCs w:val="32"/>
        </w:rPr>
        <w:t>线，南至交通运输局，北至九十六户南，总控制面积</w:t>
      </w:r>
      <w:r>
        <w:rPr>
          <w:rFonts w:ascii="仿宋" w:hAnsi="仿宋" w:eastAsia="仿宋"/>
          <w:sz w:val="32"/>
          <w:szCs w:val="32"/>
        </w:rPr>
        <w:t>1713</w:t>
      </w:r>
      <w:r>
        <w:rPr>
          <w:rFonts w:hint="eastAsia" w:ascii="仿宋" w:hAnsi="仿宋" w:eastAsia="仿宋"/>
          <w:sz w:val="32"/>
          <w:szCs w:val="32"/>
        </w:rPr>
        <w:t>亩。区域内多为军事用地，为有效保护军事用地及国防设施，增加县城绿地面积，提升绿化质量，按照县城总体规划要求，本着“增加绿地，修复生态，三季有花，四季常绿”的原则，打造集休闲、康养、健体于一体的公园绿地。</w:t>
      </w:r>
      <w:bookmarkStart w:id="0" w:name="_Toc19572"/>
    </w:p>
    <w:bookmarkEnd w:id="0"/>
    <w:p>
      <w:pPr>
        <w:ind w:firstLine="640" w:firstLineChars="200"/>
        <w:rPr>
          <w:rFonts w:ascii="黑体" w:hAnsi="黑体" w:eastAsia="黑体"/>
          <w:b/>
          <w:sz w:val="32"/>
          <w:szCs w:val="32"/>
        </w:rPr>
      </w:pPr>
      <w:r>
        <w:rPr>
          <w:rFonts w:hint="eastAsia" w:ascii="黑体" w:hAnsi="黑体" w:eastAsia="黑体"/>
          <w:sz w:val="32"/>
          <w:szCs w:val="32"/>
        </w:rPr>
        <w:t>一、</w:t>
      </w:r>
      <w:r>
        <w:rPr>
          <w:rFonts w:hint="eastAsia" w:ascii="黑体" w:hAnsi="黑体" w:eastAsia="黑体"/>
          <w:b/>
          <w:sz w:val="32"/>
          <w:szCs w:val="32"/>
        </w:rPr>
        <w:t>绿化任务</w:t>
      </w:r>
    </w:p>
    <w:p>
      <w:pPr>
        <w:ind w:firstLine="420" w:firstLineChars="200"/>
        <w:rPr>
          <w:rFonts w:ascii="仿宋" w:hAnsi="仿宋" w:eastAsia="仿宋"/>
          <w:sz w:val="32"/>
          <w:szCs w:val="32"/>
        </w:rPr>
      </w:pPr>
      <w:r>
        <w:pict>
          <v:shape id="_x0000_s1026" o:spid="_x0000_s1026" o:spt="75" alt="20200426更改" type="#_x0000_t75" style="position:absolute;left:0pt;margin-left:-13.85pt;margin-top:195.95pt;height:219.4pt;width:436.4pt;mso-wrap-distance-bottom:0pt;mso-wrap-distance-top:0pt;z-index:251658240;mso-width-relative:page;mso-height-relative:page;" filled="f" o:preferrelative="t" stroked="f" coordsize="21600,21600">
            <v:path/>
            <v:fill on="f" focussize="0,0"/>
            <v:stroke on="f" joinstyle="miter"/>
            <v:imagedata r:id="rId5" o:title=""/>
            <o:lock v:ext="edit" aspectratio="t"/>
            <w10:wrap type="topAndBottom"/>
          </v:shape>
        </w:pict>
      </w:r>
      <w:r>
        <w:rPr>
          <w:rFonts w:hint="eastAsia" w:ascii="仿宋" w:hAnsi="仿宋" w:eastAsia="仿宋"/>
          <w:sz w:val="32"/>
          <w:szCs w:val="32"/>
        </w:rPr>
        <w:t>一条山公园绿地总面积</w:t>
      </w:r>
      <w:r>
        <w:rPr>
          <w:rFonts w:ascii="仿宋" w:hAnsi="仿宋" w:eastAsia="仿宋"/>
          <w:sz w:val="32"/>
          <w:szCs w:val="32"/>
        </w:rPr>
        <w:t>911.3</w:t>
      </w:r>
      <w:r>
        <w:rPr>
          <w:rFonts w:hint="eastAsia" w:ascii="仿宋" w:hAnsi="仿宋" w:eastAsia="仿宋"/>
          <w:sz w:val="32"/>
          <w:szCs w:val="32"/>
        </w:rPr>
        <w:t>亩，依据县城总体规划建设现状及公园规划绿地的不同立地条件，主要有两种绿地类型，一是石质山体绿地，面积</w:t>
      </w:r>
      <w:r>
        <w:rPr>
          <w:rFonts w:ascii="仿宋" w:hAnsi="仿宋" w:eastAsia="仿宋"/>
          <w:sz w:val="32"/>
          <w:szCs w:val="32"/>
        </w:rPr>
        <w:t>222</w:t>
      </w:r>
      <w:r>
        <w:rPr>
          <w:rFonts w:hint="eastAsia" w:ascii="仿宋" w:hAnsi="仿宋" w:eastAsia="仿宋"/>
          <w:sz w:val="32"/>
          <w:szCs w:val="32"/>
        </w:rPr>
        <w:t>亩，占绿地总面积</w:t>
      </w:r>
      <w:r>
        <w:rPr>
          <w:rFonts w:ascii="仿宋" w:hAnsi="仿宋" w:eastAsia="仿宋"/>
          <w:sz w:val="32"/>
          <w:szCs w:val="32"/>
        </w:rPr>
        <w:t>24%</w:t>
      </w:r>
      <w:r>
        <w:rPr>
          <w:rFonts w:hint="eastAsia" w:ascii="仿宋" w:hAnsi="仿宋" w:eastAsia="仿宋"/>
          <w:sz w:val="32"/>
          <w:szCs w:val="32"/>
        </w:rPr>
        <w:t>；二是山间缓坡绿地和片状平地绿地（现状为耕作农地），面积</w:t>
      </w:r>
      <w:r>
        <w:rPr>
          <w:rFonts w:ascii="仿宋" w:hAnsi="仿宋" w:eastAsia="仿宋"/>
          <w:sz w:val="32"/>
          <w:szCs w:val="32"/>
        </w:rPr>
        <w:t>689.3</w:t>
      </w:r>
      <w:r>
        <w:rPr>
          <w:rFonts w:hint="eastAsia" w:ascii="仿宋" w:hAnsi="仿宋" w:eastAsia="仿宋"/>
          <w:sz w:val="32"/>
          <w:szCs w:val="32"/>
        </w:rPr>
        <w:t>亩（临时绿地</w:t>
      </w:r>
      <w:r>
        <w:rPr>
          <w:rFonts w:ascii="仿宋" w:hAnsi="仿宋" w:eastAsia="仿宋"/>
          <w:sz w:val="32"/>
          <w:szCs w:val="32"/>
        </w:rPr>
        <w:t>460.4</w:t>
      </w:r>
      <w:r>
        <w:rPr>
          <w:rFonts w:hint="eastAsia" w:ascii="仿宋" w:hAnsi="仿宋" w:eastAsia="仿宋"/>
          <w:sz w:val="32"/>
          <w:szCs w:val="32"/>
        </w:rPr>
        <w:t>亩，永久绿地</w:t>
      </w:r>
      <w:r>
        <w:rPr>
          <w:rFonts w:ascii="仿宋" w:hAnsi="仿宋" w:eastAsia="仿宋"/>
          <w:sz w:val="32"/>
          <w:szCs w:val="32"/>
        </w:rPr>
        <w:t>228.9</w:t>
      </w:r>
      <w:r>
        <w:rPr>
          <w:rFonts w:hint="eastAsia" w:ascii="仿宋" w:hAnsi="仿宋" w:eastAsia="仿宋"/>
          <w:sz w:val="32"/>
          <w:szCs w:val="32"/>
        </w:rPr>
        <w:t>亩），占绿地总面积</w:t>
      </w:r>
      <w:r>
        <w:rPr>
          <w:rFonts w:ascii="仿宋" w:hAnsi="仿宋" w:eastAsia="仿宋"/>
          <w:sz w:val="32"/>
          <w:szCs w:val="32"/>
        </w:rPr>
        <w:t>76%</w:t>
      </w:r>
      <w:r>
        <w:rPr>
          <w:rFonts w:hint="eastAsia" w:ascii="仿宋" w:hAnsi="仿宋" w:eastAsia="仿宋"/>
          <w:sz w:val="32"/>
          <w:szCs w:val="32"/>
        </w:rPr>
        <w:t>，为今年的绿化主要任务。</w:t>
      </w:r>
    </w:p>
    <w:p>
      <w:pPr>
        <w:ind w:firstLine="640" w:firstLineChars="200"/>
        <w:rPr>
          <w:rFonts w:ascii="仿宋" w:hAnsi="仿宋" w:eastAsia="仿宋"/>
          <w:sz w:val="32"/>
          <w:szCs w:val="32"/>
        </w:rPr>
      </w:pPr>
    </w:p>
    <w:p>
      <w:pPr>
        <w:ind w:firstLine="643" w:firstLineChars="200"/>
        <w:rPr>
          <w:rFonts w:ascii="黑体" w:hAnsi="黑体" w:eastAsia="黑体"/>
          <w:sz w:val="32"/>
          <w:szCs w:val="32"/>
        </w:rPr>
      </w:pPr>
      <w:r>
        <w:rPr>
          <w:rFonts w:hint="eastAsia" w:ascii="黑体" w:hAnsi="黑体" w:eastAsia="黑体"/>
          <w:b/>
          <w:sz w:val="32"/>
          <w:szCs w:val="32"/>
        </w:rPr>
        <w:t>二、绿化设计</w:t>
      </w:r>
    </w:p>
    <w:p>
      <w:pPr>
        <w:ind w:firstLine="643" w:firstLineChars="200"/>
        <w:rPr>
          <w:rFonts w:ascii="仿宋" w:hAnsi="仿宋" w:eastAsia="仿宋"/>
          <w:sz w:val="32"/>
          <w:szCs w:val="32"/>
        </w:rPr>
      </w:pPr>
      <w:r>
        <w:rPr>
          <w:rFonts w:hint="eastAsia" w:ascii="仿宋" w:hAnsi="仿宋" w:eastAsia="仿宋"/>
          <w:b/>
          <w:sz w:val="32"/>
          <w:szCs w:val="32"/>
        </w:rPr>
        <w:t>（一）山间缓坡绿地：</w:t>
      </w:r>
      <w:r>
        <w:rPr>
          <w:rFonts w:hint="eastAsia" w:ascii="仿宋" w:hAnsi="仿宋" w:eastAsia="仿宋"/>
          <w:sz w:val="32"/>
          <w:szCs w:val="32"/>
        </w:rPr>
        <w:t>拆除危旧房和残垣断壁，清理建筑垃圾和硬化地面，换土回填后铺设喷灌，配置国槐、柳树、青海云杉、樟子松、侧柏、杨树等树种。</w:t>
      </w:r>
    </w:p>
    <w:p>
      <w:pPr>
        <w:ind w:firstLine="420" w:firstLineChars="200"/>
        <w:rPr>
          <w:rFonts w:ascii="仿宋" w:hAnsi="仿宋" w:eastAsia="仿宋"/>
          <w:sz w:val="32"/>
          <w:szCs w:val="32"/>
        </w:rPr>
      </w:pPr>
      <w:r>
        <w:pict>
          <v:shape id="_x0000_s1027" o:spid="_x0000_s1027" o:spt="75" alt="未标题-1 拷贝" type="#_x0000_t75" style="position:absolute;left:0pt;margin-left:-4.6pt;margin-top:5.05pt;height:334.45pt;width:414.85pt;mso-wrap-distance-bottom:0pt;mso-wrap-distance-top:0pt;z-index:251659264;mso-width-relative:page;mso-height-relative:page;" filled="f" o:preferrelative="t" stroked="f" coordsize="21600,21600">
            <v:path/>
            <v:fill on="f" focussize="0,0"/>
            <v:stroke on="f" joinstyle="miter"/>
            <v:imagedata r:id="rId6" o:title=""/>
            <o:lock v:ext="edit" aspectratio="t"/>
            <w10:wrap type="topAndBottom"/>
          </v:shape>
        </w:pict>
      </w:r>
    </w:p>
    <w:p>
      <w:pPr>
        <w:ind w:firstLine="420" w:firstLineChars="200"/>
        <w:rPr>
          <w:rFonts w:ascii="仿宋" w:hAnsi="仿宋" w:eastAsia="仿宋"/>
          <w:sz w:val="32"/>
          <w:szCs w:val="32"/>
        </w:rPr>
      </w:pPr>
      <w:r>
        <w:pict>
          <v:shape id="_x0000_s1028" o:spid="_x0000_s1028" o:spt="75" alt="未标题-2 拷贝" type="#_x0000_t75" style="position:absolute;left:0pt;margin-left:0.75pt;margin-top:64.1pt;height:157.4pt;width:414.85pt;mso-wrap-distance-bottom:0pt;mso-wrap-distance-top:0pt;z-index:251660288;mso-width-relative:page;mso-height-relative:page;" filled="f" o:preferrelative="t" stroked="f" coordsize="21600,21600">
            <v:path/>
            <v:fill on="f" focussize="0,0"/>
            <v:stroke on="f" joinstyle="miter"/>
            <v:imagedata r:id="rId7" o:title=""/>
            <o:lock v:ext="edit" aspectratio="t"/>
            <w10:wrap type="topAndBottom"/>
          </v:shape>
        </w:pict>
      </w:r>
      <w:r>
        <w:rPr>
          <w:rFonts w:hint="eastAsia" w:ascii="仿宋" w:hAnsi="仿宋" w:eastAsia="仿宋"/>
          <w:b/>
          <w:sz w:val="32"/>
          <w:szCs w:val="32"/>
        </w:rPr>
        <w:t>（二）片状平地绿地：</w:t>
      </w:r>
      <w:r>
        <w:rPr>
          <w:rFonts w:hint="eastAsia" w:ascii="仿宋" w:hAnsi="仿宋" w:eastAsia="仿宋"/>
          <w:sz w:val="32"/>
          <w:szCs w:val="32"/>
        </w:rPr>
        <w:t>为节省资金，快速提高生态效益，整修后以梨树、枣树等经济林苗木进行大面积绿化。</w:t>
      </w:r>
    </w:p>
    <w:p>
      <w:pPr>
        <w:spacing w:line="580" w:lineRule="exact"/>
        <w:ind w:firstLine="643" w:firstLineChars="200"/>
        <w:outlineLvl w:val="0"/>
        <w:rPr>
          <w:rFonts w:ascii="仿宋" w:hAnsi="仿宋" w:eastAsia="仿宋"/>
          <w:sz w:val="32"/>
          <w:szCs w:val="32"/>
        </w:rPr>
      </w:pPr>
      <w:r>
        <w:rPr>
          <w:rFonts w:hint="eastAsia" w:ascii="仿宋" w:hAnsi="仿宋" w:eastAsia="仿宋"/>
          <w:b/>
          <w:sz w:val="32"/>
          <w:szCs w:val="32"/>
        </w:rPr>
        <w:t>（三）道路两侧绿地：</w:t>
      </w:r>
      <w:r>
        <w:rPr>
          <w:rFonts w:hint="eastAsia" w:ascii="仿宋" w:hAnsi="仿宋" w:eastAsia="仿宋"/>
          <w:sz w:val="32"/>
          <w:szCs w:val="32"/>
        </w:rPr>
        <w:t>公园内及周边规划道路两侧以行道树为主，主要采用乔木加常绿树、乔木加花灌木，树种以国槐、柳树、杨树、金叶榆、太阳李等为主，常绿树以樟子松、青海云杉等为主，花灌木以丁香、连翘、榆叶梅等为主。行道树规格乔木胸径</w:t>
      </w:r>
      <w:r>
        <w:rPr>
          <w:rFonts w:ascii="仿宋" w:hAnsi="仿宋" w:eastAsia="仿宋"/>
          <w:sz w:val="32"/>
          <w:szCs w:val="32"/>
        </w:rPr>
        <w:t>6</w:t>
      </w:r>
      <w:r>
        <w:rPr>
          <w:rFonts w:hint="eastAsia" w:ascii="仿宋" w:hAnsi="仿宋" w:eastAsia="仿宋"/>
          <w:sz w:val="32"/>
          <w:szCs w:val="32"/>
        </w:rPr>
        <w:t>厘米以上、常绿树高度</w:t>
      </w:r>
      <w:r>
        <w:rPr>
          <w:rFonts w:ascii="仿宋" w:hAnsi="仿宋" w:eastAsia="仿宋"/>
          <w:sz w:val="32"/>
          <w:szCs w:val="32"/>
        </w:rPr>
        <w:t>2</w:t>
      </w:r>
      <w:r>
        <w:rPr>
          <w:rFonts w:hint="eastAsia" w:ascii="仿宋" w:hAnsi="仿宋" w:eastAsia="仿宋"/>
          <w:sz w:val="32"/>
          <w:szCs w:val="32"/>
        </w:rPr>
        <w:t>米以上，花灌木高五分枝</w:t>
      </w:r>
      <w:r>
        <w:rPr>
          <w:rFonts w:ascii="仿宋" w:hAnsi="仿宋" w:eastAsia="仿宋"/>
          <w:sz w:val="32"/>
          <w:szCs w:val="32"/>
        </w:rPr>
        <w:t>1.5</w:t>
      </w:r>
      <w:r>
        <w:rPr>
          <w:rFonts w:hint="eastAsia" w:ascii="仿宋" w:hAnsi="仿宋" w:eastAsia="仿宋"/>
          <w:sz w:val="32"/>
          <w:szCs w:val="32"/>
        </w:rPr>
        <w:t>米以上。</w:t>
      </w:r>
      <w:bookmarkStart w:id="1" w:name="_Toc26056"/>
    </w:p>
    <w:p>
      <w:pPr>
        <w:spacing w:line="580" w:lineRule="exact"/>
        <w:ind w:firstLine="525" w:firstLineChars="250"/>
        <w:outlineLvl w:val="0"/>
        <w:rPr>
          <w:rFonts w:ascii="黑体" w:hAnsi="黑体" w:eastAsia="黑体"/>
          <w:sz w:val="32"/>
          <w:szCs w:val="32"/>
        </w:rPr>
      </w:pPr>
      <w:r>
        <w:pict>
          <v:shape id="_x0000_s1029" o:spid="_x0000_s1029" o:spt="75" type="#_x0000_t75" style="position:absolute;left:0pt;margin-left:0.3pt;margin-top:5.2pt;height:311.2pt;width:415.2pt;mso-wrap-distance-left:9pt;mso-wrap-distance-right:9pt;z-index:-251655168;mso-width-relative:page;mso-height-relative:page;" filled="f" o:preferrelative="t" stroked="f" coordsize="21600,21600" wrapcoords="-39 0 -39 21548 21600 21548 21600 0 -39 0">
            <v:path/>
            <v:fill on="f" focussize="0,0"/>
            <v:stroke on="f" joinstyle="miter"/>
            <v:imagedata r:id="rId8" o:title=""/>
            <o:lock v:ext="edit" aspectratio="t"/>
            <w10:wrap type="tight"/>
          </v:shape>
        </w:pict>
      </w:r>
      <w:r>
        <w:rPr>
          <w:rFonts w:hint="eastAsia" w:ascii="黑体" w:hAnsi="黑体" w:eastAsia="黑体"/>
          <w:sz w:val="32"/>
          <w:szCs w:val="32"/>
        </w:rPr>
        <w:t>三、完成情况</w:t>
      </w:r>
    </w:p>
    <w:p>
      <w:pPr>
        <w:spacing w:line="580" w:lineRule="exact"/>
        <w:ind w:firstLine="640" w:firstLineChars="200"/>
        <w:outlineLvl w:val="0"/>
        <w:rPr>
          <w:rFonts w:ascii="仿宋" w:hAnsi="仿宋" w:eastAsia="仿宋"/>
          <w:sz w:val="32"/>
          <w:szCs w:val="32"/>
        </w:rPr>
      </w:pPr>
      <w:r>
        <w:rPr>
          <w:rFonts w:hint="eastAsia" w:ascii="仿宋" w:hAnsi="仿宋" w:eastAsia="仿宋"/>
          <w:sz w:val="32"/>
          <w:szCs w:val="32"/>
        </w:rPr>
        <w:t>截止目前，共完成绿化任务</w:t>
      </w:r>
      <w:r>
        <w:rPr>
          <w:rFonts w:ascii="仿宋" w:hAnsi="仿宋" w:eastAsia="仿宋"/>
          <w:sz w:val="32"/>
          <w:szCs w:val="32"/>
        </w:rPr>
        <w:t>606.9</w:t>
      </w:r>
      <w:r>
        <w:rPr>
          <w:rFonts w:hint="eastAsia" w:ascii="仿宋" w:hAnsi="仿宋" w:eastAsia="仿宋"/>
          <w:sz w:val="32"/>
          <w:szCs w:val="32"/>
        </w:rPr>
        <w:t>亩（临时绿地</w:t>
      </w:r>
      <w:r>
        <w:rPr>
          <w:rFonts w:ascii="仿宋" w:hAnsi="仿宋" w:eastAsia="仿宋"/>
          <w:sz w:val="32"/>
          <w:szCs w:val="32"/>
        </w:rPr>
        <w:t>378</w:t>
      </w:r>
      <w:r>
        <w:rPr>
          <w:rFonts w:hint="eastAsia" w:ascii="仿宋" w:hAnsi="仿宋" w:eastAsia="仿宋"/>
          <w:sz w:val="32"/>
          <w:szCs w:val="32"/>
        </w:rPr>
        <w:t>亩，永久绿地</w:t>
      </w:r>
      <w:r>
        <w:rPr>
          <w:rFonts w:ascii="仿宋" w:hAnsi="仿宋" w:eastAsia="仿宋"/>
          <w:sz w:val="32"/>
          <w:szCs w:val="32"/>
        </w:rPr>
        <w:t>228.9</w:t>
      </w:r>
      <w:r>
        <w:rPr>
          <w:rFonts w:hint="eastAsia" w:ascii="仿宋" w:hAnsi="仿宋" w:eastAsia="仿宋"/>
          <w:sz w:val="32"/>
          <w:szCs w:val="32"/>
        </w:rPr>
        <w:t>亩），占总任务的</w:t>
      </w:r>
      <w:r>
        <w:rPr>
          <w:rFonts w:ascii="仿宋" w:hAnsi="仿宋" w:eastAsia="仿宋"/>
          <w:sz w:val="32"/>
          <w:szCs w:val="32"/>
        </w:rPr>
        <w:t>88%</w:t>
      </w:r>
      <w:r>
        <w:rPr>
          <w:rFonts w:hint="eastAsia" w:ascii="仿宋" w:hAnsi="仿宋" w:eastAsia="仿宋"/>
          <w:sz w:val="32"/>
          <w:szCs w:val="32"/>
        </w:rPr>
        <w:t>，调运云杉、国槐、香花槐、柳树、新疆杨、花灌木等各类苗木</w:t>
      </w:r>
      <w:r>
        <w:rPr>
          <w:rFonts w:ascii="仿宋" w:hAnsi="仿宋" w:eastAsia="仿宋"/>
          <w:sz w:val="32"/>
          <w:szCs w:val="32"/>
        </w:rPr>
        <w:t>29809</w:t>
      </w:r>
      <w:r>
        <w:rPr>
          <w:rFonts w:hint="eastAsia" w:ascii="仿宋" w:hAnsi="仿宋" w:eastAsia="仿宋"/>
          <w:sz w:val="32"/>
          <w:szCs w:val="32"/>
        </w:rPr>
        <w:t>株。</w:t>
      </w:r>
    </w:p>
    <w:bookmarkEnd w:id="1"/>
    <w:p>
      <w:pPr>
        <w:spacing w:line="580" w:lineRule="exact"/>
        <w:ind w:firstLine="640" w:firstLineChars="200"/>
        <w:outlineLvl w:val="0"/>
        <w:rPr>
          <w:rFonts w:ascii="黑体" w:hAnsi="黑体" w:eastAsia="黑体" w:cs="黑体"/>
          <w:bCs/>
          <w:sz w:val="32"/>
          <w:szCs w:val="32"/>
        </w:rPr>
      </w:pPr>
      <w:bookmarkStart w:id="2" w:name="_Toc12141"/>
      <w:r>
        <w:rPr>
          <w:rFonts w:hint="eastAsia" w:ascii="黑体" w:hAnsi="黑体" w:eastAsia="黑体" w:cs="黑体"/>
          <w:bCs/>
          <w:sz w:val="32"/>
          <w:szCs w:val="32"/>
        </w:rPr>
        <w:t>四、</w:t>
      </w:r>
      <w:bookmarkEnd w:id="2"/>
      <w:r>
        <w:rPr>
          <w:rFonts w:hint="eastAsia" w:ascii="黑体" w:hAnsi="黑体" w:eastAsia="黑体" w:cs="黑体"/>
          <w:bCs/>
          <w:sz w:val="32"/>
          <w:szCs w:val="32"/>
        </w:rPr>
        <w:t>主要做法</w:t>
      </w:r>
    </w:p>
    <w:p>
      <w:pPr>
        <w:numPr>
          <w:ilvl w:val="0"/>
          <w:numId w:val="1"/>
        </w:numPr>
        <w:ind w:firstLine="640" w:firstLineChars="200"/>
        <w:rPr>
          <w:rFonts w:ascii="仿宋" w:hAnsi="仿宋" w:eastAsia="仿宋" w:cs="仿宋"/>
          <w:sz w:val="32"/>
          <w:szCs w:val="32"/>
        </w:rPr>
      </w:pPr>
      <w:r>
        <w:rPr>
          <w:rFonts w:hint="eastAsia" w:ascii="楷体_GB2312" w:hAnsi="楷体_GB2312" w:eastAsia="楷体_GB2312" w:cs="楷体_GB2312"/>
          <w:bCs/>
          <w:sz w:val="32"/>
          <w:szCs w:val="32"/>
        </w:rPr>
        <w:t>加强组织领导</w:t>
      </w:r>
      <w:r>
        <w:rPr>
          <w:rFonts w:ascii="楷体_GB2312" w:hAnsi="楷体_GB2312" w:eastAsia="楷体_GB2312" w:cs="楷体_GB2312"/>
          <w:bCs/>
          <w:sz w:val="32"/>
          <w:szCs w:val="32"/>
        </w:rPr>
        <w:t>,</w:t>
      </w:r>
      <w:r>
        <w:rPr>
          <w:rFonts w:hint="eastAsia" w:ascii="楷体_GB2312" w:hAnsi="楷体_GB2312" w:eastAsia="楷体_GB2312" w:cs="楷体_GB2312"/>
          <w:bCs/>
          <w:sz w:val="32"/>
          <w:szCs w:val="32"/>
        </w:rPr>
        <w:t>义务植树带动</w:t>
      </w:r>
      <w:r>
        <w:rPr>
          <w:rFonts w:ascii="楷体_GB2312" w:hAnsi="楷体_GB2312" w:eastAsia="楷体_GB2312" w:cs="楷体_GB2312"/>
          <w:bCs/>
          <w:sz w:val="32"/>
          <w:szCs w:val="32"/>
        </w:rPr>
        <w:t xml:space="preserve"> </w:t>
      </w:r>
    </w:p>
    <w:p>
      <w:pPr>
        <w:ind w:firstLine="480" w:firstLineChars="150"/>
        <w:rPr>
          <w:rFonts w:ascii="仿宋" w:hAnsi="仿宋" w:eastAsia="仿宋" w:cs="仿宋"/>
          <w:sz w:val="32"/>
          <w:szCs w:val="32"/>
        </w:rPr>
      </w:pPr>
      <w:r>
        <w:rPr>
          <w:rFonts w:hint="eastAsia" w:ascii="仿宋" w:hAnsi="仿宋" w:eastAsia="仿宋" w:cs="仿宋"/>
          <w:sz w:val="32"/>
          <w:szCs w:val="32"/>
        </w:rPr>
        <w:t>县林业和草原主管部门充分发挥牵头部门的作用，加快项目规划设计、苗木调运等前期工作进度。公园绿化技术人员落实责任，在整地、调苗、假植、栽植、灌水等关键环节上跟踪监管，确保各环节密切衔接。将一条山公园绿化美化作为实施城市振兴战略、城市人居环境整治的重要措施。县上四大班子领导也积极参加到一条山公园绿化美化行动中，开展义务植树活动，有力的开创了一条山公园绿化建设的新局面。</w:t>
      </w:r>
    </w:p>
    <w:p>
      <w:pPr>
        <w:ind w:firstLine="320" w:firstLineChars="100"/>
        <w:rPr>
          <w:rFonts w:ascii="仿宋" w:hAnsi="仿宋" w:eastAsia="仿宋" w:cs="仿宋"/>
          <w:sz w:val="32"/>
          <w:szCs w:val="32"/>
        </w:rPr>
      </w:pPr>
      <w:r>
        <w:rPr>
          <w:rFonts w:hint="eastAsia" w:ascii="楷体" w:hAnsi="楷体" w:eastAsia="楷体" w:cs="仿宋"/>
          <w:sz w:val="32"/>
          <w:szCs w:val="32"/>
        </w:rPr>
        <w:t>（二）实施工程造林，</w:t>
      </w:r>
      <w:r>
        <w:rPr>
          <w:rFonts w:hint="eastAsia" w:ascii="楷体" w:hAnsi="楷体" w:eastAsia="楷体" w:cs="楷体_GB2312"/>
          <w:bCs/>
          <w:sz w:val="32"/>
          <w:szCs w:val="32"/>
        </w:rPr>
        <w:t>强化责任落实。</w:t>
      </w:r>
      <w:r>
        <w:rPr>
          <w:rFonts w:hint="eastAsia" w:ascii="仿宋" w:hAnsi="仿宋" w:eastAsia="仿宋" w:cs="仿宋"/>
          <w:sz w:val="32"/>
          <w:szCs w:val="32"/>
        </w:rPr>
        <w:t>县林业和草原主管部门将一条山公园绿化美化工作纳入重要议事日程，列入实施城市振兴战略、城市人居环境整治综合评价考核范围。为了提高绿化质量，实施工程造林。落实了各相关职能单位的工作分工和责任清单，指导一条山公园的绿化美化行动，切实抓好组织实施和督导检查。</w:t>
      </w:r>
    </w:p>
    <w:p>
      <w:pPr>
        <w:ind w:firstLine="640" w:firstLineChars="200"/>
        <w:rPr>
          <w:rFonts w:ascii="仿宋" w:hAnsi="仿宋" w:eastAsia="仿宋" w:cs="仿宋"/>
          <w:sz w:val="32"/>
          <w:szCs w:val="32"/>
        </w:rPr>
      </w:pPr>
      <w:r>
        <w:rPr>
          <w:rFonts w:hint="eastAsia" w:ascii="楷体" w:hAnsi="楷体" w:eastAsia="楷体" w:cs="仿宋"/>
          <w:sz w:val="32"/>
          <w:szCs w:val="32"/>
        </w:rPr>
        <w:t>（三）跟踪技术指导，</w:t>
      </w:r>
      <w:r>
        <w:rPr>
          <w:rFonts w:hint="eastAsia" w:ascii="楷体" w:hAnsi="楷体" w:eastAsia="楷体" w:cs="楷体_GB2312"/>
          <w:bCs/>
          <w:sz w:val="32"/>
          <w:szCs w:val="32"/>
        </w:rPr>
        <w:t>确保建设成效。</w:t>
      </w:r>
      <w:r>
        <w:rPr>
          <w:rFonts w:hint="eastAsia" w:ascii="仿宋" w:hAnsi="仿宋" w:eastAsia="仿宋" w:cs="仿宋"/>
          <w:sz w:val="32"/>
          <w:szCs w:val="32"/>
        </w:rPr>
        <w:t>技术人员指导编制一条山公园绿化美化典型设计，并以建立科技示范点、技术承包、技术培训等形式，加强一条山公园绿化美化技术指导服务，提高绿化美化成效。同时弘扬生态文明新风，营造植绿爱绿的良好风尚，提高大家生态保护意识，巩固一条山公园绿化美化成果。加强造林绿化后期管护，确保成活成林见效。同时积极优化公园森林结构，培育健康稳定的多功能森林公园，构建优美森林生态景观，让广大人民群众亲近森林、感知森林、享受森林。</w:t>
      </w:r>
    </w:p>
    <w:p>
      <w:pPr>
        <w:ind w:firstLine="640" w:firstLineChars="200"/>
        <w:rPr>
          <w:rFonts w:ascii="仿宋" w:hAnsi="仿宋" w:eastAsia="仿宋" w:cs="仿宋"/>
          <w:sz w:val="32"/>
          <w:szCs w:val="32"/>
        </w:rPr>
      </w:pPr>
    </w:p>
    <w:p>
      <w:pPr>
        <w:ind w:firstLine="4640" w:firstLineChars="1450"/>
        <w:rPr>
          <w:rFonts w:ascii="仿宋" w:hAnsi="仿宋" w:eastAsia="仿宋"/>
          <w:sz w:val="32"/>
          <w:szCs w:val="32"/>
        </w:rPr>
      </w:pPr>
      <w:bookmarkStart w:id="3" w:name="_GoBack"/>
      <w:bookmarkEnd w:id="3"/>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AFF" w:usb1="C000247B" w:usb2="00000009" w:usb3="00000000" w:csb0="200001FF" w:csb1="00000000"/>
  </w:font>
  <w:font w:name="仿宋">
    <w:panose1 w:val="02010609060101010101"/>
    <w:charset w:val="86"/>
    <w:family w:val="modern"/>
    <w:pitch w:val="default"/>
    <w:sig w:usb0="800002BF" w:usb1="38CF7CFA" w:usb2="00000016" w:usb3="00000000" w:csb0="00040001" w:csb1="00000000"/>
  </w:font>
  <w:font w:name="楷体_GB2312">
    <w:altName w:val="楷体"/>
    <w:panose1 w:val="02010609030101010101"/>
    <w:charset w:val="86"/>
    <w:family w:val="modern"/>
    <w:pitch w:val="default"/>
    <w:sig w:usb0="00000000" w:usb1="00000000" w:usb2="00000010" w:usb3="00000000" w:csb0="00040000" w:csb1="00000000"/>
  </w:font>
  <w:font w:name="楷体">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
      <w:jc w:val="center"/>
    </w:pPr>
    <w:r>
      <w:fldChar w:fldCharType="begin"/>
    </w:r>
    <w:r>
      <w:instrText xml:space="preserve"> PAGE   \* MERGEFORMAT </w:instrText>
    </w:r>
    <w:r>
      <w:fldChar w:fldCharType="separate"/>
    </w:r>
    <w:r>
      <w:rPr>
        <w:lang w:val="zh-CN"/>
      </w:rPr>
      <w:t>4</w:t>
    </w:r>
    <w:r>
      <w:rPr>
        <w:lang w:val="zh-CN"/>
      </w:rPr>
      <w:fldChar w:fldCharType="end"/>
    </w:r>
  </w:p>
  <w:p>
    <w:pPr>
      <w:pStyle w:val="3"/>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C59005A"/>
    <w:multiLevelType w:val="singleLevel"/>
    <w:tmpl w:val="7C59005A"/>
    <w:lvl w:ilvl="0" w:tentative="0">
      <w:start w:val="1"/>
      <w:numFmt w:val="chineseCounting"/>
      <w:suff w:val="nothing"/>
      <w:lvlText w:val="（%1）"/>
      <w:lvlJc w:val="left"/>
      <w:rPr>
        <w:rFonts w:hint="eastAsia" w:cs="Times New Roman"/>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noLineBreaksAfter w:lang="zh-CN" w:val="$([{£¥·‘“〈《「『【〔〖〝﹙﹛﹝＄（．［｛￡￥"/>
  <w:noLineBreaksBefore w:lang="zh-CN" w:val="!%),.:;&gt;?]}¢¨°·ˇˉ―‖’”…‰′″›℃∶、。〃〉》」』】〕〗〞︶︺︾﹀﹄﹚﹜﹞！＂％＇），．：；？］｀｜｝～￠"/>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1E14DE"/>
    <w:rsid w:val="00011D16"/>
    <w:rsid w:val="00031B86"/>
    <w:rsid w:val="00053DEC"/>
    <w:rsid w:val="00086228"/>
    <w:rsid w:val="000943B8"/>
    <w:rsid w:val="000C1FF9"/>
    <w:rsid w:val="000C6D67"/>
    <w:rsid w:val="000D7EB2"/>
    <w:rsid w:val="000F0861"/>
    <w:rsid w:val="00152127"/>
    <w:rsid w:val="00186021"/>
    <w:rsid w:val="001A15A7"/>
    <w:rsid w:val="001A2779"/>
    <w:rsid w:val="001B6655"/>
    <w:rsid w:val="001D4AD9"/>
    <w:rsid w:val="001E14DE"/>
    <w:rsid w:val="002242AE"/>
    <w:rsid w:val="002348F6"/>
    <w:rsid w:val="00272942"/>
    <w:rsid w:val="00274DF3"/>
    <w:rsid w:val="0028610A"/>
    <w:rsid w:val="002B2004"/>
    <w:rsid w:val="002B5D73"/>
    <w:rsid w:val="002C5AC0"/>
    <w:rsid w:val="002E089F"/>
    <w:rsid w:val="002E4679"/>
    <w:rsid w:val="002E528D"/>
    <w:rsid w:val="002F75D4"/>
    <w:rsid w:val="00354035"/>
    <w:rsid w:val="00356E2E"/>
    <w:rsid w:val="00365707"/>
    <w:rsid w:val="00393D91"/>
    <w:rsid w:val="003A07EE"/>
    <w:rsid w:val="003F0EF9"/>
    <w:rsid w:val="003F4A9C"/>
    <w:rsid w:val="00404B72"/>
    <w:rsid w:val="00405F77"/>
    <w:rsid w:val="00415F8E"/>
    <w:rsid w:val="00434C0E"/>
    <w:rsid w:val="0043668E"/>
    <w:rsid w:val="00442AF7"/>
    <w:rsid w:val="00466C45"/>
    <w:rsid w:val="0049055F"/>
    <w:rsid w:val="004B224F"/>
    <w:rsid w:val="004D20D7"/>
    <w:rsid w:val="00517554"/>
    <w:rsid w:val="00536261"/>
    <w:rsid w:val="0054228D"/>
    <w:rsid w:val="00544EE2"/>
    <w:rsid w:val="005752A5"/>
    <w:rsid w:val="00581ED5"/>
    <w:rsid w:val="005A5D65"/>
    <w:rsid w:val="005B2872"/>
    <w:rsid w:val="005B3B88"/>
    <w:rsid w:val="005D6968"/>
    <w:rsid w:val="00606817"/>
    <w:rsid w:val="006646E4"/>
    <w:rsid w:val="00670E9E"/>
    <w:rsid w:val="00676960"/>
    <w:rsid w:val="00687CF4"/>
    <w:rsid w:val="006920FA"/>
    <w:rsid w:val="006968F1"/>
    <w:rsid w:val="006C6506"/>
    <w:rsid w:val="006D2FDF"/>
    <w:rsid w:val="006F5BDF"/>
    <w:rsid w:val="00710E03"/>
    <w:rsid w:val="00713B1F"/>
    <w:rsid w:val="007413AD"/>
    <w:rsid w:val="00757EEC"/>
    <w:rsid w:val="0076511F"/>
    <w:rsid w:val="00771103"/>
    <w:rsid w:val="00784A81"/>
    <w:rsid w:val="00796BC4"/>
    <w:rsid w:val="007A3222"/>
    <w:rsid w:val="007C0FD5"/>
    <w:rsid w:val="007C2614"/>
    <w:rsid w:val="007E271E"/>
    <w:rsid w:val="00814172"/>
    <w:rsid w:val="0081756B"/>
    <w:rsid w:val="008549F3"/>
    <w:rsid w:val="008573B5"/>
    <w:rsid w:val="00857AC9"/>
    <w:rsid w:val="00863867"/>
    <w:rsid w:val="008962EF"/>
    <w:rsid w:val="008B7E88"/>
    <w:rsid w:val="008F2833"/>
    <w:rsid w:val="00942009"/>
    <w:rsid w:val="0094378F"/>
    <w:rsid w:val="0098407B"/>
    <w:rsid w:val="009870EB"/>
    <w:rsid w:val="009973B9"/>
    <w:rsid w:val="009A20FD"/>
    <w:rsid w:val="00A110F2"/>
    <w:rsid w:val="00A32577"/>
    <w:rsid w:val="00A365D6"/>
    <w:rsid w:val="00AA6B86"/>
    <w:rsid w:val="00AB43F0"/>
    <w:rsid w:val="00AD3900"/>
    <w:rsid w:val="00AE09F7"/>
    <w:rsid w:val="00AF3647"/>
    <w:rsid w:val="00B01847"/>
    <w:rsid w:val="00B3065B"/>
    <w:rsid w:val="00B32FF7"/>
    <w:rsid w:val="00B330B9"/>
    <w:rsid w:val="00B36A0E"/>
    <w:rsid w:val="00B66663"/>
    <w:rsid w:val="00B8531E"/>
    <w:rsid w:val="00B93EF7"/>
    <w:rsid w:val="00BB38BE"/>
    <w:rsid w:val="00BD5288"/>
    <w:rsid w:val="00BE57CE"/>
    <w:rsid w:val="00BF4DCB"/>
    <w:rsid w:val="00C04EA7"/>
    <w:rsid w:val="00C23CF5"/>
    <w:rsid w:val="00C54F3A"/>
    <w:rsid w:val="00C674E4"/>
    <w:rsid w:val="00C717B1"/>
    <w:rsid w:val="00C9516D"/>
    <w:rsid w:val="00C95C05"/>
    <w:rsid w:val="00C968C0"/>
    <w:rsid w:val="00CD14CC"/>
    <w:rsid w:val="00CD5C65"/>
    <w:rsid w:val="00CE132D"/>
    <w:rsid w:val="00D20B89"/>
    <w:rsid w:val="00D40BF6"/>
    <w:rsid w:val="00D608C4"/>
    <w:rsid w:val="00D90525"/>
    <w:rsid w:val="00DB5EFF"/>
    <w:rsid w:val="00E00E15"/>
    <w:rsid w:val="00E5156E"/>
    <w:rsid w:val="00E546A5"/>
    <w:rsid w:val="00E738E5"/>
    <w:rsid w:val="00E77CD9"/>
    <w:rsid w:val="00E77E0C"/>
    <w:rsid w:val="00E85EB5"/>
    <w:rsid w:val="00E903C9"/>
    <w:rsid w:val="00EC1F47"/>
    <w:rsid w:val="00EC55DE"/>
    <w:rsid w:val="00EE7C31"/>
    <w:rsid w:val="00EF63B2"/>
    <w:rsid w:val="00F12451"/>
    <w:rsid w:val="00F47F49"/>
    <w:rsid w:val="00FA2AF3"/>
    <w:rsid w:val="00FA5883"/>
    <w:rsid w:val="00FE51C3"/>
    <w:rsid w:val="0FD4273A"/>
    <w:rsid w:val="13384125"/>
    <w:rsid w:val="6AA14D94"/>
    <w:rsid w:val="73F82593"/>
  </w:rsids>
  <m:mathPr>
    <m:mathFont m:val="Cambria Math"/>
    <m:brkBin m:val="before"/>
    <m:brkBinSub m:val="--"/>
    <m:smallFrac m:val="0"/>
    <m:dispDef/>
    <m:lMargin m:val="0"/>
    <m:rMargin m:val="0"/>
    <m:defJc m:val="centerGroup"/>
    <m:wrapIndent m:val="1440"/>
    <m:intLim m:val="subSup"/>
    <m:naryLim m:val="undOvr"/>
  </m:mathPr>
  <w:doNotAutoCompressPictures/>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uiPriority="99" w:name="Normal Indent"/>
    <w:lsdException w:uiPriority="99" w:name="footnote text"/>
    <w:lsdException w:uiPriority="99" w:name="annotation text"/>
    <w:lsdException w:qFormat="1" w:unhideWhenUsed="0" w:uiPriority="99" w:name="header"/>
    <w:lsdException w:qFormat="1" w:unhideWhenUsed="0" w:uiPriority="99" w:semiHidden="0" w:name="footer"/>
    <w:lsdException w:uiPriority="99" w:name="index heading"/>
    <w:lsdException w:qFormat="1" w:uiPriority="0" w:name="caption" w:locked="1"/>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ocked="1"/>
    <w:lsdException w:uiPriority="99" w:name="Closing"/>
    <w:lsdException w:uiPriority="99" w:name="Signature"/>
    <w:lsdException w:unhideWhenUsed="0" w:uiPriority="99"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ocked="1"/>
    <w:lsdException w:uiPriority="99" w:name="Salutation"/>
    <w:lsdException w:unhideWhenUsed="0" w:uiPriority="99" w:semiHidden="0"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0" w:semiHidden="0" w:name="Strong" w:locked="1"/>
    <w:lsdException w:qFormat="1" w:unhideWhenUsed="0" w:uiPriority="0" w:semiHidden="0" w:name="Emphasis" w:locked="1"/>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0" w:semiHidden="0" w:name="Table Grid" w:locked="1"/>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character" w:default="1" w:styleId="6">
    <w:name w:val="Default Paragraph Font"/>
    <w:semiHidden/>
    <w:uiPriority w:val="99"/>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Date"/>
    <w:basedOn w:val="1"/>
    <w:next w:val="1"/>
    <w:link w:val="7"/>
    <w:uiPriority w:val="99"/>
    <w:pPr>
      <w:ind w:left="100" w:leftChars="2500"/>
    </w:pPr>
  </w:style>
  <w:style w:type="paragraph" w:styleId="3">
    <w:name w:val="footer"/>
    <w:basedOn w:val="1"/>
    <w:link w:val="8"/>
    <w:qFormat/>
    <w:uiPriority w:val="99"/>
    <w:pPr>
      <w:tabs>
        <w:tab w:val="center" w:pos="4153"/>
        <w:tab w:val="right" w:pos="8306"/>
      </w:tabs>
      <w:snapToGrid w:val="0"/>
      <w:jc w:val="left"/>
    </w:pPr>
    <w:rPr>
      <w:sz w:val="18"/>
      <w:szCs w:val="18"/>
    </w:rPr>
  </w:style>
  <w:style w:type="paragraph" w:styleId="4">
    <w:name w:val="header"/>
    <w:basedOn w:val="1"/>
    <w:link w:val="9"/>
    <w:semiHidden/>
    <w:qFormat/>
    <w:uiPriority w:val="99"/>
    <w:pPr>
      <w:pBdr>
        <w:bottom w:val="single" w:color="auto" w:sz="6" w:space="1"/>
      </w:pBdr>
      <w:tabs>
        <w:tab w:val="center" w:pos="4153"/>
        <w:tab w:val="right" w:pos="8306"/>
      </w:tabs>
      <w:snapToGrid w:val="0"/>
      <w:jc w:val="center"/>
    </w:pPr>
    <w:rPr>
      <w:sz w:val="18"/>
      <w:szCs w:val="18"/>
    </w:rPr>
  </w:style>
  <w:style w:type="character" w:customStyle="1" w:styleId="7">
    <w:name w:val="Date Char"/>
    <w:basedOn w:val="6"/>
    <w:link w:val="2"/>
    <w:semiHidden/>
    <w:locked/>
    <w:uiPriority w:val="99"/>
    <w:rPr>
      <w:rFonts w:cs="Times New Roman"/>
    </w:rPr>
  </w:style>
  <w:style w:type="character" w:customStyle="1" w:styleId="8">
    <w:name w:val="Footer Char"/>
    <w:basedOn w:val="6"/>
    <w:link w:val="3"/>
    <w:qFormat/>
    <w:locked/>
    <w:uiPriority w:val="99"/>
    <w:rPr>
      <w:rFonts w:cs="Times New Roman"/>
      <w:sz w:val="18"/>
      <w:szCs w:val="18"/>
    </w:rPr>
  </w:style>
  <w:style w:type="character" w:customStyle="1" w:styleId="9">
    <w:name w:val="Header Char"/>
    <w:basedOn w:val="6"/>
    <w:link w:val="4"/>
    <w:semiHidden/>
    <w:locked/>
    <w:uiPriority w:val="99"/>
    <w:rPr>
      <w:rFonts w:cs="Times New Roman"/>
      <w:sz w:val="18"/>
      <w:szCs w:val="18"/>
    </w:rPr>
  </w:style>
</w:styles>
</file>

<file path=word/_rels/document.xml.rels><?xml version="1.0" encoding="UTF-8" standalone="yes"?>
<Relationships xmlns="http://schemas.openxmlformats.org/package/2006/relationships"><Relationship Id="rId9" Type="http://schemas.openxmlformats.org/officeDocument/2006/relationships/customXml" Target="../customXml/item1.xml"/><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1" Type="http://schemas.openxmlformats.org/officeDocument/2006/relationships/fontTable" Target="fontTable.xml"/><Relationship Id="rId10" Type="http://schemas.openxmlformats.org/officeDocument/2006/relationships/numbering" Target="numbering.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Info spid="_x0000_s1027"/>
    <customShpInfo spid="_x0000_s1028"/>
    <customShpInfo spid="_x0000_s102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Normal_Wordconv</Template>
  <Company>www.dadighost.com</Company>
  <Pages>5</Pages>
  <Words>192</Words>
  <Characters>1101</Characters>
  <Lines>0</Lines>
  <Paragraphs>0</Paragraphs>
  <TotalTime>22</TotalTime>
  <ScaleCrop>false</ScaleCrop>
  <LinksUpToDate>false</LinksUpToDate>
  <CharactersWithSpaces>0</CharactersWithSpaces>
  <Application>WPS Office_11.1.0.10314_F1E327BC-269C-435d-A152-05C5408002CA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2020-03-18T07:09:00Z</dcterms:created>
  <dc:creator>孙得明</dc:creator>
  <cp:lastModifiedBy>Administrator</cp:lastModifiedBy>
  <cp:lastPrinted>2020-04-28T06:40:00Z</cp:lastPrinted>
  <dcterms:modified xsi:type="dcterms:W3CDTF">2021-02-03T07:37:13Z</dcterms:modified>
  <cp:revision>81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